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360" w:lineRule="auto"/>
        <w:jc w:val="both"/>
        <w:rPr>
          <w:rFonts w:ascii="Arial" w:cs="Arial" w:eastAsia="Arial" w:hAnsi="Arial"/>
          <w:b w:val="1"/>
          <w:bCs w:val="1"/>
          <w:sz w:val="24"/>
          <w:szCs w:val="24"/>
        </w:rPr>
      </w:pPr>
      <w:r w:rsidDel="00000000" w:rsidR="00000000" w:rsidRPr="00000000">
        <w:rPr>
          <w:rFonts w:ascii="Arial" w:cs="Arial" w:eastAsia="Arial" w:hAnsi="Arial"/>
          <w:sz w:val="24"/>
          <w:szCs w:val="24"/>
        </w:rPr>
        <w:drawing>
          <wp:inline distB="114300" distT="114300" distL="114300" distR="114300">
            <wp:extent cx="825500" cy="825500"/>
            <wp:effectExtent b="0" l="0" r="0" t="0"/>
            <wp:docPr descr="Círculo&#10;&#10;Descripción generada automáticamente" id="3" name="image2.png"/>
            <a:graphic>
              <a:graphicData uri="http://schemas.openxmlformats.org/drawingml/2006/picture">
                <pic:pic>
                  <pic:nvPicPr>
                    <pic:cNvPr descr="Círculo&#10;&#10;Descripción generada automáticamente" id="0" name="image2.png"/>
                    <pic:cNvPicPr preferRelativeResize="0"/>
                  </pic:nvPicPr>
                  <pic:blipFill>
                    <a:blip r:embed="rId7"/>
                    <a:srcRect b="0" l="0" r="0" t="0"/>
                    <a:stretch>
                      <a:fillRect/>
                    </a:stretch>
                  </pic:blipFill>
                  <pic:spPr>
                    <a:xfrm>
                      <a:off x="0" y="0"/>
                      <a:ext cx="825500" cy="825500"/>
                    </a:xfrm>
                    <a:prstGeom prst="rect"/>
                    <a:ln/>
                  </pic:spPr>
                </pic:pic>
              </a:graphicData>
            </a:graphic>
          </wp:inline>
        </w:drawing>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bCs w:val="1"/>
          <w:sz w:val="24"/>
          <w:szCs w:val="24"/>
          <w:rtl w:val="0"/>
        </w:rPr>
        <w:t xml:space="preserve">HOSPITAL CENTRAL DE IPS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3876675</wp:posOffset>
            </wp:positionH>
            <wp:positionV relativeFrom="paragraph">
              <wp:posOffset>234218</wp:posOffset>
            </wp:positionV>
            <wp:extent cx="1485900" cy="611420"/>
            <wp:effectExtent b="0" l="0" r="0" t="0"/>
            <wp:wrapNone/>
            <wp:docPr id="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485900" cy="611420"/>
                    </a:xfrm>
                    <a:prstGeom prst="rect"/>
                    <a:ln/>
                  </pic:spPr>
                </pic:pic>
              </a:graphicData>
            </a:graphic>
          </wp:anchor>
        </w:drawing>
      </w:r>
    </w:p>
    <w:p w:rsidR="00000000" w:rsidDel="00000000" w:rsidP="00000000" w:rsidRDefault="00000000" w:rsidRPr="00000000" w14:paraId="00000002">
      <w:pPr>
        <w:spacing w:after="120" w:line="36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UNIVERSIDAD CATÓLICA “Nuestra Señora de la Asunción”</w:t>
      </w:r>
    </w:p>
    <w:p w:rsidR="00000000" w:rsidDel="00000000" w:rsidP="00000000" w:rsidRDefault="00000000" w:rsidRPr="00000000" w14:paraId="00000003">
      <w:pPr>
        <w:spacing w:after="120" w:line="360" w:lineRule="auto"/>
        <w:jc w:val="center"/>
        <w:rPr>
          <w:rFonts w:ascii="Arial" w:cs="Arial" w:eastAsia="Arial" w:hAnsi="Arial"/>
          <w:b w:val="1"/>
          <w:bCs w:val="1"/>
          <w:sz w:val="28"/>
          <w:szCs w:val="28"/>
        </w:rPr>
      </w:pPr>
      <w:r w:rsidDel="00000000" w:rsidR="00000000" w:rsidRPr="00000000">
        <w:rPr>
          <w:rFonts w:ascii="Arial" w:cs="Arial" w:eastAsia="Arial" w:hAnsi="Arial"/>
          <w:b w:val="1"/>
          <w:bCs w:val="1"/>
          <w:sz w:val="24"/>
          <w:szCs w:val="24"/>
          <w:rtl w:val="0"/>
        </w:rPr>
        <w:t xml:space="preserve">DIRECCIÓN GENERAL DE POSGRADO E INVESTIGACIÓN</w:t>
      </w:r>
      <w:r w:rsidDel="00000000" w:rsidR="00000000" w:rsidRPr="00000000">
        <w:rPr>
          <w:rFonts w:ascii="Arial" w:cs="Arial" w:eastAsia="Arial" w:hAnsi="Arial"/>
          <w:b w:val="1"/>
          <w:bCs w:val="1"/>
          <w:sz w:val="28"/>
          <w:szCs w:val="28"/>
          <w:rtl w:val="0"/>
        </w:rPr>
        <w:t xml:space="preserve">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tabs>
          <w:tab w:val="center" w:leader="none" w:pos="4110"/>
        </w:tabs>
        <w:spacing w:after="240" w:before="240" w:line="36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8"/>
          <w:szCs w:val="28"/>
          <w:rtl w:val="0"/>
        </w:rPr>
        <w:t xml:space="preserve">SUB ESPECIALIZACIÓN EN MEDICINA CRÍTICA Y CUIDADOS INTENSIVOS ADULTOS </w:t>
      </w:r>
      <w:r w:rsidDel="00000000" w:rsidR="00000000" w:rsidRPr="00000000">
        <w:rPr>
          <w:rtl w:val="0"/>
        </w:rPr>
      </w:r>
    </w:p>
    <w:p w:rsidR="00000000" w:rsidDel="00000000" w:rsidP="00000000" w:rsidRDefault="00000000" w:rsidRPr="00000000" w14:paraId="00000005">
      <w:pPr>
        <w:spacing w:after="120" w:line="360" w:lineRule="auto"/>
        <w:jc w:val="both"/>
        <w:rPr>
          <w:rFonts w:ascii="Arial" w:cs="Arial" w:eastAsia="Arial" w:hAnsi="Arial"/>
          <w:b w:val="1"/>
          <w:bCs w:val="1"/>
          <w:color w:val="ff0000"/>
          <w:sz w:val="24"/>
          <w:szCs w:val="24"/>
        </w:rPr>
      </w:pPr>
      <w:r w:rsidDel="00000000" w:rsidR="00000000" w:rsidRPr="00000000">
        <w:rPr>
          <w:rFonts w:ascii="Arial" w:cs="Arial" w:eastAsia="Arial" w:hAnsi="Arial"/>
          <w:b w:val="1"/>
          <w:bCs w:val="1"/>
          <w:sz w:val="24"/>
          <w:szCs w:val="24"/>
          <w:rtl w:val="0"/>
        </w:rPr>
        <w:t xml:space="preserve">Propuesta de: Trabajo de Investigación</w:t>
      </w:r>
      <w:r w:rsidDel="00000000" w:rsidR="00000000" w:rsidRPr="00000000">
        <w:rPr>
          <w:rtl w:val="0"/>
        </w:rPr>
      </w:r>
    </w:p>
    <w:p w:rsidR="00000000" w:rsidDel="00000000" w:rsidP="00000000" w:rsidRDefault="00000000" w:rsidRPr="00000000" w14:paraId="00000006">
      <w:pPr>
        <w:spacing w:after="120" w:line="36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Autor:</w:t>
      </w:r>
      <w:r w:rsidDel="00000000" w:rsidR="00000000" w:rsidRPr="00000000">
        <w:rPr>
          <w:rFonts w:ascii="Arial" w:cs="Arial" w:eastAsia="Arial" w:hAnsi="Arial"/>
          <w:b w:val="1"/>
          <w:bCs w:val="1"/>
          <w:color w:val="ff0000"/>
          <w:sz w:val="24"/>
          <w:szCs w:val="24"/>
          <w:rtl w:val="0"/>
        </w:rPr>
        <w:t xml:space="preserve"> </w:t>
      </w:r>
      <w:r w:rsidDel="00000000" w:rsidR="00000000" w:rsidRPr="00000000">
        <w:rPr>
          <w:rFonts w:ascii="Arial" w:cs="Arial" w:eastAsia="Arial" w:hAnsi="Arial"/>
          <w:sz w:val="24"/>
          <w:szCs w:val="24"/>
          <w:rtl w:val="0"/>
        </w:rPr>
        <w:t xml:space="preserve">Lilian Lorena Fernández Cáceres </w:t>
      </w:r>
      <w:r w:rsidDel="00000000" w:rsidR="00000000" w:rsidRPr="00000000">
        <w:rPr>
          <w:rtl w:val="0"/>
        </w:rPr>
      </w:r>
    </w:p>
    <w:p w:rsidR="00000000" w:rsidDel="00000000" w:rsidP="00000000" w:rsidRDefault="00000000" w:rsidRPr="00000000" w14:paraId="00000007">
      <w:pPr>
        <w:spacing w:after="120" w:line="36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Tutor de contenido:</w:t>
      </w:r>
      <w:r w:rsidDel="00000000" w:rsidR="00000000" w:rsidRPr="00000000">
        <w:rPr>
          <w:rFonts w:ascii="Arial" w:cs="Arial" w:eastAsia="Arial" w:hAnsi="Arial"/>
          <w:sz w:val="24"/>
          <w:szCs w:val="24"/>
          <w:rtl w:val="0"/>
        </w:rPr>
        <w:t xml:space="preserve"> Dra. Gabriela Candia</w:t>
      </w:r>
    </w:p>
    <w:p w:rsidR="00000000" w:rsidDel="00000000" w:rsidP="00000000" w:rsidRDefault="00000000" w:rsidRPr="00000000" w14:paraId="00000008">
      <w:pPr>
        <w:spacing w:after="120" w:line="360" w:lineRule="auto"/>
        <w:jc w:val="both"/>
        <w:rPr/>
      </w:pPr>
      <w:r w:rsidDel="00000000" w:rsidR="00000000" w:rsidRPr="00000000">
        <w:rPr>
          <w:rtl w:val="0"/>
        </w:rPr>
        <w:t xml:space="preserve">PLANTEAMIENTO DEL PROBLEMA</w:t>
      </w:r>
    </w:p>
    <w:p w:rsidR="00000000" w:rsidDel="00000000" w:rsidP="00000000" w:rsidRDefault="00000000" w:rsidRPr="00000000" w14:paraId="00000009">
      <w:pPr>
        <w:spacing w:line="36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Pregunta de Investigación</w:t>
      </w:r>
    </w:p>
    <w:p w:rsidR="00000000" w:rsidDel="00000000" w:rsidP="00000000" w:rsidRDefault="00000000" w:rsidRPr="00000000" w14:paraId="0000000A">
      <w:pPr>
        <w:spacing w:after="240" w:before="240" w:line="360" w:lineRule="auto"/>
        <w:jc w:val="both"/>
        <w:rPr>
          <w:rFonts w:ascii="Arial" w:cs="Arial" w:eastAsia="Arial" w:hAnsi="Arial"/>
          <w:sz w:val="20"/>
          <w:szCs w:val="20"/>
        </w:rPr>
      </w:pPr>
      <w:r w:rsidDel="00000000" w:rsidR="00000000" w:rsidRPr="00000000">
        <w:rPr>
          <w:rFonts w:ascii="Arial" w:cs="Arial" w:eastAsia="Arial" w:hAnsi="Arial"/>
          <w:sz w:val="24"/>
          <w:szCs w:val="24"/>
          <w:rtl w:val="0"/>
        </w:rPr>
        <w:t xml:space="preserve">¿Requerimiento de inotropicos segun gasto cardiaco, medido por ecocardiografia vs metodo de fick indirecto en shock septico?</w:t>
      </w:r>
      <w:r w:rsidDel="00000000" w:rsidR="00000000" w:rsidRPr="00000000">
        <w:rPr>
          <w:rtl w:val="0"/>
        </w:rPr>
      </w:r>
    </w:p>
    <w:p w:rsidR="00000000" w:rsidDel="00000000" w:rsidP="00000000" w:rsidRDefault="00000000" w:rsidRPr="00000000" w14:paraId="0000000B">
      <w:pPr>
        <w:spacing w:line="360" w:lineRule="auto"/>
        <w:jc w:val="both"/>
        <w:rPr>
          <w:rFonts w:ascii="Arial" w:cs="Arial" w:eastAsia="Arial" w:hAnsi="Arial"/>
          <w:sz w:val="20"/>
          <w:szCs w:val="20"/>
        </w:rPr>
      </w:pPr>
      <w:r w:rsidDel="00000000" w:rsidR="00000000" w:rsidRPr="00000000">
        <w:rPr>
          <w:rFonts w:ascii="Arial" w:cs="Arial" w:eastAsia="Arial" w:hAnsi="Arial"/>
          <w:b w:val="1"/>
          <w:bCs w:val="1"/>
          <w:sz w:val="24"/>
          <w:szCs w:val="24"/>
          <w:rtl w:val="0"/>
        </w:rPr>
        <w:t xml:space="preserve">Justificación del estudio</w:t>
      </w:r>
      <w:r w:rsidDel="00000000" w:rsidR="00000000" w:rsidRPr="00000000">
        <w:rPr>
          <w:rtl w:val="0"/>
        </w:rPr>
      </w:r>
    </w:p>
    <w:p w:rsidR="00000000" w:rsidDel="00000000" w:rsidP="00000000" w:rsidRDefault="00000000" w:rsidRPr="00000000" w14:paraId="0000000C">
      <w:pPr>
        <w:spacing w:after="240" w:before="24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La torsión ovárica es una entidad rara en la infancia y la adolescencia, es un evento de emergencia que requiere manejo quirúrgico inmediato.</w:t>
      </w:r>
    </w:p>
    <w:p w:rsidR="00000000" w:rsidDel="00000000" w:rsidP="00000000" w:rsidRDefault="00000000" w:rsidRPr="00000000" w14:paraId="0000000D">
      <w:pPr>
        <w:spacing w:after="240" w:before="24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Debido a sus síntomas inespecíficos, la torsión ovárica es difícil de distinguir de otras entidades como la apendicitis aguda, el quiste ovárico roto, el cólico renoureteral y la gastroenteritis. Por lo tanto, el diagnóstico de la torsión ovárica en la población pediátrica sigue siendo un gran desafío para los cirujanos pediátricos.</w:t>
      </w:r>
    </w:p>
    <w:p w:rsidR="00000000" w:rsidDel="00000000" w:rsidP="00000000" w:rsidRDefault="00000000" w:rsidRPr="00000000" w14:paraId="0000000E">
      <w:pPr>
        <w:shd w:fill="ffffff" w:val="clear"/>
        <w:spacing w:after="240" w:before="240" w:line="360" w:lineRule="auto"/>
        <w:jc w:val="both"/>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El motivo de este trabajo radica en que a partir del análisis de las características demográficas, quirúrgicas y ecográficas de las pacientes pediátricas con torsión ovárica en el Servicio de Cirugía Pediátrica del Instituto de Previsión Social, se logre una impresión diagnóstica precoz de la torsión ovárica, de manera a realizar el tratamiento quirúrgico adecuado en el momento oportuno.</w:t>
      </w:r>
    </w:p>
    <w:p w:rsidR="00000000" w:rsidDel="00000000" w:rsidP="00000000" w:rsidRDefault="00000000" w:rsidRPr="00000000" w14:paraId="0000000F">
      <w:pPr>
        <w:shd w:fill="ffffff" w:val="clear"/>
        <w:spacing w:after="240" w:before="240" w:line="360" w:lineRule="auto"/>
        <w:jc w:val="both"/>
        <w:rPr>
          <w:rFonts w:ascii="Arial" w:cs="Arial" w:eastAsia="Arial" w:hAnsi="Arial"/>
          <w:color w:val="ff0000"/>
          <w:sz w:val="24"/>
          <w:szCs w:val="24"/>
        </w:rPr>
      </w:pPr>
      <w:r w:rsidDel="00000000" w:rsidR="00000000" w:rsidRPr="00000000">
        <w:rPr>
          <w:rFonts w:ascii="Arial" w:cs="Arial" w:eastAsia="Arial" w:hAnsi="Arial"/>
          <w:color w:val="222222"/>
          <w:sz w:val="24"/>
          <w:szCs w:val="24"/>
          <w:rtl w:val="0"/>
        </w:rPr>
        <w:t xml:space="preserve">De esta forma será eficaz la preservación ovárica y la fertilidad de la paciente, además se utilizarán los medios y recursos necesarios en el tiempo exacto. No se desperdiciará capital humano ni insumos materiales al no realizar procedimientos innecesarios.</w:t>
      </w:r>
      <w:r w:rsidDel="00000000" w:rsidR="00000000" w:rsidRPr="00000000">
        <w:rPr>
          <w:rtl w:val="0"/>
        </w:rPr>
      </w:r>
    </w:p>
    <w:p w:rsidR="00000000" w:rsidDel="00000000" w:rsidP="00000000" w:rsidRDefault="00000000" w:rsidRPr="00000000" w14:paraId="00000010">
      <w:pPr>
        <w:spacing w:line="36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Breve fundamentación teórica</w:t>
      </w:r>
    </w:p>
    <w:p w:rsidR="00000000" w:rsidDel="00000000" w:rsidP="00000000" w:rsidRDefault="00000000" w:rsidRPr="00000000" w14:paraId="00000011">
      <w:pPr>
        <w:spacing w:after="240" w:before="240" w:line="360"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La torsión ovárica en niñas es una condición poco frecuente pero grave que puede ocurrir en cualquier etapa de la infancia y la adolescencia. Se caracteriza por la rotación anormal del ovario alrededor de su eje vascular, lo que puede provocar una obstrucción en el flujo sanguíneo hacia el ovario. Sin un tratamiento adecuado y apropiado, la torsión ovárica puede conducir a la pérdida del ovario y, en casos graves, a la sepsis y la muerte </w:t>
      </w:r>
      <w:r w:rsidDel="00000000" w:rsidR="00000000" w:rsidRPr="00000000">
        <w:rPr>
          <w:rFonts w:ascii="Arial" w:cs="Arial" w:eastAsia="Arial" w:hAnsi="Arial"/>
          <w:sz w:val="24"/>
          <w:szCs w:val="24"/>
          <w:rtl w:val="0"/>
        </w:rPr>
        <w:t xml:space="preserve">(1,2)</w:t>
      </w:r>
      <w:r w:rsidDel="00000000" w:rsidR="00000000" w:rsidRPr="00000000">
        <w:rPr>
          <w:rFonts w:ascii="Arial" w:cs="Arial" w:eastAsia="Arial" w:hAnsi="Arial"/>
          <w:sz w:val="24"/>
          <w:szCs w:val="24"/>
          <w:highlight w:val="white"/>
          <w:rtl w:val="0"/>
        </w:rPr>
        <w:t xml:space="preserve">.</w:t>
      </w:r>
    </w:p>
    <w:p w:rsidR="00000000" w:rsidDel="00000000" w:rsidP="00000000" w:rsidRDefault="00000000" w:rsidRPr="00000000" w14:paraId="00000012">
      <w:pPr>
        <w:spacing w:after="240" w:before="240" w:line="360"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Es importante tener en cuenta que la presentación clínica puede variar en</w:t>
      </w:r>
    </w:p>
    <w:p w:rsidR="00000000" w:rsidDel="00000000" w:rsidP="00000000" w:rsidRDefault="00000000" w:rsidRPr="00000000" w14:paraId="00000013">
      <w:pPr>
        <w:spacing w:after="240" w:before="240" w:line="360"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cada niña y puede ser confundida con otras afecciones abdominales agudas,</w:t>
      </w:r>
    </w:p>
    <w:p w:rsidR="00000000" w:rsidDel="00000000" w:rsidP="00000000" w:rsidRDefault="00000000" w:rsidRPr="00000000" w14:paraId="00000014">
      <w:pPr>
        <w:spacing w:after="240" w:before="240" w:line="360"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lo que puede retrasar el diagnóstico y el tratamiento adecuado. El diagnóstico</w:t>
      </w:r>
    </w:p>
    <w:p w:rsidR="00000000" w:rsidDel="00000000" w:rsidP="00000000" w:rsidRDefault="00000000" w:rsidRPr="00000000" w14:paraId="00000015">
      <w:pPr>
        <w:spacing w:after="240" w:before="240" w:line="360"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de la torsión ovárica niñas puede ser un desafío debido a la similitud de los</w:t>
      </w:r>
    </w:p>
    <w:p w:rsidR="00000000" w:rsidDel="00000000" w:rsidP="00000000" w:rsidRDefault="00000000" w:rsidRPr="00000000" w14:paraId="00000016">
      <w:pPr>
        <w:spacing w:after="240" w:before="240" w:line="360"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síntomas con otras afecciones abdominales (3).</w:t>
      </w:r>
    </w:p>
    <w:p w:rsidR="00000000" w:rsidDel="00000000" w:rsidP="00000000" w:rsidRDefault="00000000" w:rsidRPr="00000000" w14:paraId="00000017">
      <w:pPr>
        <w:spacing w:after="240" w:before="240" w:line="360" w:lineRule="auto"/>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18">
      <w:pPr>
        <w:spacing w:after="240" w:before="240" w:line="360"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El tratamiento de la torsión ovárica en niñas es una emergencia médica que</w:t>
      </w:r>
    </w:p>
    <w:p w:rsidR="00000000" w:rsidDel="00000000" w:rsidP="00000000" w:rsidRDefault="00000000" w:rsidRPr="00000000" w14:paraId="00000019">
      <w:pPr>
        <w:spacing w:after="240" w:before="240" w:line="360"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requiere intervención inmediata para preservar la función del ovario y prevenir</w:t>
      </w:r>
    </w:p>
    <w:p w:rsidR="00000000" w:rsidDel="00000000" w:rsidP="00000000" w:rsidRDefault="00000000" w:rsidRPr="00000000" w14:paraId="0000001A">
      <w:pPr>
        <w:spacing w:after="240" w:before="240" w:line="360"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complicaciones graves. El abordaje terapéutico depende de varios factores,</w:t>
      </w:r>
    </w:p>
    <w:p w:rsidR="00000000" w:rsidDel="00000000" w:rsidP="00000000" w:rsidRDefault="00000000" w:rsidRPr="00000000" w14:paraId="0000001B">
      <w:pPr>
        <w:spacing w:after="240" w:before="240" w:line="360"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como la edad de la paciente, el estado del ovario y la viabilidad del tejido, la</w:t>
      </w:r>
    </w:p>
    <w:p w:rsidR="00000000" w:rsidDel="00000000" w:rsidP="00000000" w:rsidRDefault="00000000" w:rsidRPr="00000000" w14:paraId="0000001C">
      <w:pPr>
        <w:spacing w:after="240" w:before="240" w:line="360"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gravedad de la torsión y la presencia de complicaciones adicionales (4).</w:t>
      </w:r>
    </w:p>
    <w:p w:rsidR="00000000" w:rsidDel="00000000" w:rsidP="00000000" w:rsidRDefault="00000000" w:rsidRPr="00000000" w14:paraId="0000001D">
      <w:pPr>
        <w:spacing w:after="240" w:before="240" w:line="360" w:lineRule="auto"/>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1E">
      <w:pPr>
        <w:spacing w:after="240" w:before="240" w:line="360" w:lineRule="auto"/>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1F">
      <w:pPr>
        <w:spacing w:after="240" w:before="240" w:line="360" w:lineRule="auto"/>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20">
      <w:pPr>
        <w:spacing w:line="36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1">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spacing w:line="36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Referencias bibliográficas</w:t>
      </w:r>
    </w:p>
    <w:p w:rsidR="00000000" w:rsidDel="00000000" w:rsidP="00000000" w:rsidRDefault="00000000" w:rsidRPr="00000000" w14:paraId="00000023">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 </w:t>
      </w:r>
      <w:r w:rsidDel="00000000" w:rsidR="00000000" w:rsidRPr="00000000">
        <w:rPr>
          <w:rFonts w:ascii="Arial" w:cs="Arial" w:eastAsia="Arial" w:hAnsi="Arial"/>
          <w:color w:val="001d35"/>
          <w:sz w:val="24"/>
          <w:szCs w:val="24"/>
          <w:highlight w:val="white"/>
          <w:rtl w:val="0"/>
        </w:rPr>
        <w:t xml:space="preserve">Bonachea, R. R., Ortíz, L. A., &amp; Rodríguez, C. (2023). Torsión anexial aguda en paciente de edad pediátrica. Revista Cubana de Obstetricia y Ginecología, 46(4), e541</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24">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 Schmitt F., Podevin G. Urgencias quirúrgicas en recién nacidos y lactantes. EMC - Tratado Med (internet). 2020 (citado 3 de agosto de 2023); 24(4): 1-15.</w:t>
      </w:r>
    </w:p>
    <w:p w:rsidR="00000000" w:rsidDel="00000000" w:rsidP="00000000" w:rsidRDefault="00000000" w:rsidRPr="00000000" w14:paraId="00000025">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 Rojas DAP, Masot DLV, Garcín DMB, Gutiérrez DSP. Patología ovárica</w:t>
      </w:r>
    </w:p>
    <w:p w:rsidR="00000000" w:rsidDel="00000000" w:rsidP="00000000" w:rsidRDefault="00000000" w:rsidRPr="00000000" w14:paraId="00000026">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urgente ¿Torsión o no torsión? Esa es la cuestión. Seram (Internet). 2021.</w:t>
      </w:r>
    </w:p>
    <w:p w:rsidR="00000000" w:rsidDel="00000000" w:rsidP="00000000" w:rsidRDefault="00000000" w:rsidRPr="00000000" w14:paraId="00000027">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[citado 2 de agosto de 2023];1(1). Disponible en: https://piper.espacio-</w:t>
      </w:r>
    </w:p>
    <w:p w:rsidR="00000000" w:rsidDel="00000000" w:rsidP="00000000" w:rsidRDefault="00000000" w:rsidRPr="00000000" w14:paraId="00000028">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seram.com/index.php/seram/article/view/4603.</w:t>
      </w:r>
    </w:p>
    <w:p w:rsidR="00000000" w:rsidDel="00000000" w:rsidP="00000000" w:rsidRDefault="00000000" w:rsidRPr="00000000" w14:paraId="00000029">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 León Chunata TA. Abdomen agudo ginecológico [Internet] [Tesis de</w:t>
      </w:r>
    </w:p>
    <w:p w:rsidR="00000000" w:rsidDel="00000000" w:rsidP="00000000" w:rsidRDefault="00000000" w:rsidRPr="00000000" w14:paraId="0000002A">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Grado]. [Ecuador]: Escuela Superior Politécnica de Chimborazo; 2019 [citado</w:t>
      </w:r>
    </w:p>
    <w:p w:rsidR="00000000" w:rsidDel="00000000" w:rsidP="00000000" w:rsidRDefault="00000000" w:rsidRPr="00000000" w14:paraId="0000002B">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 de agosto de 2023]. Disponible en:</w:t>
      </w:r>
    </w:p>
    <w:p w:rsidR="00000000" w:rsidDel="00000000" w:rsidP="00000000" w:rsidRDefault="00000000" w:rsidRPr="00000000" w14:paraId="0000002C">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http://dspace.espoch.edu.ec/handle/123456789/18769</w:t>
      </w:r>
    </w:p>
    <w:p w:rsidR="00000000" w:rsidDel="00000000" w:rsidP="00000000" w:rsidRDefault="00000000" w:rsidRPr="00000000" w14:paraId="0000002D">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E">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F">
      <w:pPr>
        <w:spacing w:line="36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Palabras clave</w:t>
      </w:r>
    </w:p>
    <w:p w:rsidR="00000000" w:rsidDel="00000000" w:rsidP="00000000" w:rsidRDefault="00000000" w:rsidRPr="00000000" w14:paraId="00000030">
      <w:pPr>
        <w:spacing w:after="120" w:before="24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Torsión ovárica, ovario necrótico, detorsión, tratamiento conservador.</w:t>
      </w:r>
    </w:p>
    <w:p w:rsidR="00000000" w:rsidDel="00000000" w:rsidP="00000000" w:rsidRDefault="00000000" w:rsidRPr="00000000" w14:paraId="00000031">
      <w:pPr>
        <w:spacing w:line="360" w:lineRule="auto"/>
        <w:jc w:val="both"/>
        <w:rPr>
          <w:rFonts w:ascii="Arial" w:cs="Arial" w:eastAsia="Arial" w:hAnsi="Arial"/>
          <w:sz w:val="24"/>
          <w:szCs w:val="24"/>
        </w:rPr>
      </w:pPr>
      <w:r w:rsidDel="00000000" w:rsidR="00000000" w:rsidRPr="00000000">
        <w:rPr>
          <w:rtl w:val="0"/>
        </w:rPr>
      </w:r>
    </w:p>
    <w:sectPr>
      <w:footerReference r:id="rId9" w:type="first"/>
      <w:footerReference r:id="rId10" w:type="even"/>
      <w:pgSz w:h="16840" w:w="11900"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36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480" w:lineRule="auto"/>
      <w:jc w:val="right"/>
    </w:pPr>
    <w:rPr>
      <w:rFonts w:ascii="Arial" w:cs="Arial" w:eastAsia="Arial" w:hAnsi="Arial"/>
      <w:b w:val="1"/>
      <w:bCs w:val="1"/>
      <w:sz w:val="24"/>
      <w:szCs w:val="24"/>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rsid w:val="00C236FB"/>
    <w:pPr>
      <w:spacing w:after="200" w:line="276" w:lineRule="auto"/>
    </w:pPr>
    <w:rPr>
      <w:rFonts w:ascii="Calibri" w:cs="Times New Roman" w:eastAsia="Calibri" w:hAnsi="Calibri"/>
      <w:sz w:val="22"/>
      <w:szCs w:val="22"/>
      <w:lang w:val="es-ES"/>
    </w:rPr>
  </w:style>
  <w:style w:type="paragraph" w:styleId="Ttulo1">
    <w:name w:val="heading 1"/>
    <w:basedOn w:val="Normal"/>
    <w:next w:val="Normal"/>
    <w:link w:val="Ttulo1Car"/>
    <w:uiPriority w:val="9"/>
    <w:qFormat w:val="1"/>
    <w:rsid w:val="00C236FB"/>
    <w:pPr>
      <w:spacing w:line="480" w:lineRule="auto"/>
      <w:jc w:val="right"/>
      <w:outlineLvl w:val="0"/>
    </w:pPr>
    <w:rPr>
      <w:rFonts w:ascii="Arial" w:cs="Arial" w:hAnsi="Arial"/>
      <w:b w:val="1"/>
      <w:sz w:val="24"/>
      <w:szCs w:val="24"/>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C236FB"/>
    <w:rPr>
      <w:rFonts w:ascii="Arial" w:cs="Arial" w:eastAsia="Calibri" w:hAnsi="Arial"/>
      <w:b w:val="1"/>
      <w:lang w:val="es-ES"/>
    </w:rPr>
  </w:style>
  <w:style w:type="paragraph" w:styleId="Piedepgina">
    <w:name w:val="footer"/>
    <w:basedOn w:val="Normal"/>
    <w:link w:val="PiedepginaCar"/>
    <w:uiPriority w:val="99"/>
    <w:unhideWhenUsed w:val="1"/>
    <w:rsid w:val="00C236FB"/>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C236FB"/>
    <w:rPr>
      <w:rFonts w:ascii="Calibri" w:cs="Times New Roman" w:eastAsia="Calibri" w:hAnsi="Calibri"/>
      <w:sz w:val="22"/>
      <w:szCs w:val="22"/>
      <w:lang w:val="es-ES"/>
    </w:rPr>
  </w:style>
  <w:style w:type="paragraph" w:styleId="TtuloTDC">
    <w:name w:val="TOC Heading"/>
    <w:basedOn w:val="Ttulo1"/>
    <w:next w:val="Normal"/>
    <w:uiPriority w:val="39"/>
    <w:unhideWhenUsed w:val="1"/>
    <w:qFormat w:val="1"/>
    <w:rsid w:val="00C236FB"/>
    <w:pPr>
      <w:outlineLvl w:val="9"/>
    </w:pPr>
  </w:style>
  <w:style w:type="paragraph" w:styleId="TDC1">
    <w:name w:val="toc 1"/>
    <w:basedOn w:val="Normal"/>
    <w:next w:val="Normal"/>
    <w:autoRedefine w:val="1"/>
    <w:uiPriority w:val="39"/>
    <w:unhideWhenUsed w:val="1"/>
    <w:rsid w:val="00C236FB"/>
    <w:pPr>
      <w:spacing w:after="0" w:before="120"/>
    </w:pPr>
    <w:rPr>
      <w:rFonts w:asciiTheme="minorHAnsi" w:hAnsiTheme="minorHAnsi"/>
      <w:b w:val="1"/>
      <w:sz w:val="24"/>
      <w:szCs w:val="24"/>
    </w:rPr>
  </w:style>
  <w:style w:type="character" w:styleId="Nmerodepgina">
    <w:name w:val="page number"/>
    <w:basedOn w:val="Fuentedeprrafopredeter"/>
    <w:uiPriority w:val="99"/>
    <w:semiHidden w:val="1"/>
    <w:unhideWhenUsed w:val="1"/>
    <w:rsid w:val="00C236FB"/>
  </w:style>
  <w:style w:type="paragraph" w:styleId="Textodeglobo">
    <w:name w:val="Balloon Text"/>
    <w:basedOn w:val="Normal"/>
    <w:link w:val="TextodegloboCar"/>
    <w:uiPriority w:val="99"/>
    <w:semiHidden w:val="1"/>
    <w:unhideWhenUsed w:val="1"/>
    <w:rsid w:val="00C236FB"/>
    <w:pPr>
      <w:spacing w:after="0" w:line="240" w:lineRule="auto"/>
    </w:pPr>
    <w:rPr>
      <w:rFonts w:ascii="Lucida Grande" w:cs="Lucida Grande" w:hAnsi="Lucida Grande"/>
      <w:sz w:val="18"/>
      <w:szCs w:val="18"/>
    </w:rPr>
  </w:style>
  <w:style w:type="character" w:styleId="TextodegloboCar" w:customStyle="1">
    <w:name w:val="Texto de globo Car"/>
    <w:basedOn w:val="Fuentedeprrafopredeter"/>
    <w:link w:val="Textodeglobo"/>
    <w:uiPriority w:val="99"/>
    <w:semiHidden w:val="1"/>
    <w:rsid w:val="00C236FB"/>
    <w:rPr>
      <w:rFonts w:ascii="Lucida Grande" w:cs="Lucida Grande" w:eastAsia="Calibri" w:hAnsi="Lucida Grande"/>
      <w:sz w:val="18"/>
      <w:szCs w:val="18"/>
      <w:lang w:val="es-ES"/>
    </w:rPr>
  </w:style>
  <w:style w:type="paragraph" w:styleId="Prrafodelista">
    <w:name w:val="List Paragraph"/>
    <w:basedOn w:val="Normal"/>
    <w:uiPriority w:val="34"/>
    <w:qFormat w:val="1"/>
    <w:rsid w:val="00742162"/>
    <w:pPr>
      <w:ind w:left="720"/>
      <w:contextualSpacing w:val="1"/>
    </w:pPr>
  </w:style>
  <w:style w:type="character" w:styleId="Refdecomentario">
    <w:name w:val="annotation reference"/>
    <w:basedOn w:val="Fuentedeprrafopredeter"/>
    <w:uiPriority w:val="99"/>
    <w:semiHidden w:val="1"/>
    <w:unhideWhenUsed w:val="1"/>
    <w:rsid w:val="00053FC8"/>
    <w:rPr>
      <w:sz w:val="18"/>
      <w:szCs w:val="18"/>
    </w:rPr>
  </w:style>
  <w:style w:type="paragraph" w:styleId="Textocomentario">
    <w:name w:val="annotation text"/>
    <w:basedOn w:val="Normal"/>
    <w:link w:val="TextocomentarioCar"/>
    <w:uiPriority w:val="99"/>
    <w:semiHidden w:val="1"/>
    <w:unhideWhenUsed w:val="1"/>
    <w:rsid w:val="00053FC8"/>
    <w:pPr>
      <w:spacing w:line="240" w:lineRule="auto"/>
    </w:pPr>
    <w:rPr>
      <w:sz w:val="24"/>
      <w:szCs w:val="24"/>
    </w:rPr>
  </w:style>
  <w:style w:type="character" w:styleId="TextocomentarioCar" w:customStyle="1">
    <w:name w:val="Texto comentario Car"/>
    <w:basedOn w:val="Fuentedeprrafopredeter"/>
    <w:link w:val="Textocomentario"/>
    <w:uiPriority w:val="99"/>
    <w:semiHidden w:val="1"/>
    <w:rsid w:val="00053FC8"/>
    <w:rPr>
      <w:rFonts w:ascii="Calibri" w:cs="Times New Roman" w:eastAsia="Calibri" w:hAnsi="Calibri"/>
      <w:lang w:val="es-ES"/>
    </w:rPr>
  </w:style>
  <w:style w:type="paragraph" w:styleId="Asuntodelcomentario">
    <w:name w:val="annotation subject"/>
    <w:basedOn w:val="Textocomentario"/>
    <w:next w:val="Textocomentario"/>
    <w:link w:val="AsuntodelcomentarioCar"/>
    <w:uiPriority w:val="99"/>
    <w:semiHidden w:val="1"/>
    <w:unhideWhenUsed w:val="1"/>
    <w:rsid w:val="00053FC8"/>
    <w:rPr>
      <w:b w:val="1"/>
      <w:bCs w:val="1"/>
      <w:sz w:val="20"/>
      <w:szCs w:val="20"/>
    </w:rPr>
  </w:style>
  <w:style w:type="character" w:styleId="AsuntodelcomentarioCar" w:customStyle="1">
    <w:name w:val="Asunto del comentario Car"/>
    <w:basedOn w:val="TextocomentarioCar"/>
    <w:link w:val="Asuntodelcomentario"/>
    <w:uiPriority w:val="99"/>
    <w:semiHidden w:val="1"/>
    <w:rsid w:val="00053FC8"/>
    <w:rPr>
      <w:rFonts w:ascii="Calibri" w:cs="Times New Roman" w:eastAsia="Calibri" w:hAnsi="Calibri"/>
      <w:b w:val="1"/>
      <w:bCs w:val="1"/>
      <w:sz w:val="20"/>
      <w:szCs w:val="20"/>
      <w:lang w:val="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OUlJ45iA9aRQOdeMDTF24gWc+Q==">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2021-07-08T01:09:00Z</dcterms:created>
  <dc:creator>MF</dc:creator>
</cp:coreProperties>
</file>